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446F9D" w:rsidRDefault="00F618ED" w:rsidP="00F618ED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87</w:t>
      </w:r>
      <w:r w:rsidRPr="00446F9D">
        <w:tab/>
      </w:r>
      <w:r w:rsidRPr="00363390">
        <w:t>R1-16</w:t>
      </w:r>
      <w:r w:rsidR="00002C3F">
        <w:t>12907</w:t>
      </w:r>
      <w:bookmarkStart w:id="0" w:name="_GoBack"/>
      <w:bookmarkEnd w:id="0"/>
    </w:p>
    <w:p w:rsidR="00F618ED" w:rsidRPr="000833FA" w:rsidRDefault="00F618ED" w:rsidP="00F618ED">
      <w:pPr>
        <w:pStyle w:val="Header"/>
        <w:rPr>
          <w:color w:val="000000"/>
        </w:rPr>
      </w:pPr>
      <w:r>
        <w:t>Reno, NV, USA, November 14 – 18, 2016</w:t>
      </w:r>
    </w:p>
    <w:p w:rsidR="00F618ED" w:rsidRPr="000833FA" w:rsidRDefault="00F618ED" w:rsidP="00F618ED">
      <w:pPr>
        <w:pStyle w:val="Header"/>
      </w:pPr>
    </w:p>
    <w:p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E20E32">
        <w:t xml:space="preserve">On </w:t>
      </w:r>
      <w:r w:rsidR="00FB72BF">
        <w:t>carrier bandwidth for NR</w:t>
      </w:r>
    </w:p>
    <w:p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49799A">
        <w:t>7.1.1</w:t>
      </w:r>
    </w:p>
    <w:p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618ED" w:rsidP="00F618ED">
      <w:pPr>
        <w:pStyle w:val="Heading1"/>
        <w:spacing w:before="180"/>
        <w:ind w:left="562" w:hanging="562"/>
      </w:pPr>
      <w:r>
        <w:t>Introduction</w:t>
      </w:r>
    </w:p>
    <w:p w:rsidR="0052140E" w:rsidRDefault="00DE0D8A" w:rsidP="009A0611">
      <w:pPr>
        <w:pStyle w:val="BodyText"/>
      </w:pPr>
      <w:r>
        <w:t>At RAN1#86</w:t>
      </w:r>
      <w:r w:rsidR="006B481E">
        <w:t xml:space="preserve">, </w:t>
      </w:r>
      <w:r>
        <w:t>it was agreed that</w:t>
      </w:r>
    </w:p>
    <w:p w:rsidR="00FB72BF" w:rsidRPr="003060B2" w:rsidRDefault="00FB72BF" w:rsidP="00FB72BF">
      <w:pPr>
        <w:numPr>
          <w:ilvl w:val="0"/>
          <w:numId w:val="15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At least for Phase 1, s</w:t>
      </w:r>
      <w:r w:rsidRPr="00CA3C19">
        <w:rPr>
          <w:rFonts w:eastAsia="MS Mincho"/>
          <w:lang w:eastAsia="ja-JP"/>
        </w:rPr>
        <w:t xml:space="preserve">tudy mechanisms to </w:t>
      </w:r>
      <w:r>
        <w:rPr>
          <w:rFonts w:eastAsia="MS Mincho"/>
          <w:lang w:eastAsia="ja-JP"/>
        </w:rPr>
        <w:t xml:space="preserve">support </w:t>
      </w:r>
      <w:r>
        <w:rPr>
          <w:rFonts w:eastAsia="MS Mincho" w:hint="eastAsia"/>
          <w:lang w:eastAsia="ja-JP"/>
        </w:rPr>
        <w:t xml:space="preserve">operation over e.g. </w:t>
      </w:r>
      <w:r w:rsidRPr="00CA3C19">
        <w:rPr>
          <w:rFonts w:eastAsia="MS Mincho"/>
          <w:lang w:eastAsia="ja-JP"/>
        </w:rPr>
        <w:t xml:space="preserve">around 1GHz </w:t>
      </w:r>
      <w:r>
        <w:rPr>
          <w:rFonts w:eastAsia="MS Mincho" w:hint="eastAsia"/>
          <w:lang w:eastAsia="ja-JP"/>
        </w:rPr>
        <w:t xml:space="preserve">contiguous spectrum </w:t>
      </w:r>
      <w:r w:rsidRPr="00CA3C19">
        <w:rPr>
          <w:rFonts w:eastAsia="MS Mincho"/>
          <w:lang w:eastAsia="ja-JP"/>
        </w:rPr>
        <w:t>from both NW and UE perspectives</w:t>
      </w:r>
      <w:r>
        <w:rPr>
          <w:rFonts w:eastAsia="MS Mincho" w:hint="eastAsia"/>
          <w:lang w:eastAsia="ja-JP"/>
        </w:rPr>
        <w:t xml:space="preserve"> i</w:t>
      </w:r>
      <w:r w:rsidRPr="003060B2">
        <w:rPr>
          <w:rFonts w:eastAsia="MS Mincho"/>
          <w:lang w:eastAsia="ja-JP"/>
        </w:rPr>
        <w:t>ncluding the maximum single carrier bandwidth of at least 80 MHz</w:t>
      </w:r>
    </w:p>
    <w:p w:rsidR="00FB72BF" w:rsidRPr="00CA3C19" w:rsidRDefault="00FB72BF" w:rsidP="00FB72BF">
      <w:pPr>
        <w:numPr>
          <w:ilvl w:val="1"/>
          <w:numId w:val="15"/>
        </w:numPr>
        <w:rPr>
          <w:rFonts w:eastAsia="MS Mincho"/>
          <w:lang w:eastAsia="ja-JP"/>
        </w:rPr>
      </w:pPr>
      <w:r w:rsidRPr="00CA3C19">
        <w:rPr>
          <w:rFonts w:eastAsia="MS Mincho"/>
          <w:lang w:eastAsia="ja-JP"/>
        </w:rPr>
        <w:t>Carrier Aggregation/Dual Connectivity (Multi-carrier approach)</w:t>
      </w:r>
      <w:r>
        <w:rPr>
          <w:rFonts w:eastAsia="MS Mincho" w:hint="eastAsia"/>
          <w:lang w:eastAsia="ja-JP"/>
        </w:rPr>
        <w:t xml:space="preserve"> </w:t>
      </w:r>
    </w:p>
    <w:p w:rsidR="00FB72BF" w:rsidRDefault="00FB72BF" w:rsidP="00FB72BF">
      <w:pPr>
        <w:numPr>
          <w:ilvl w:val="2"/>
          <w:numId w:val="15"/>
        </w:numPr>
        <w:rPr>
          <w:rFonts w:eastAsia="MS Mincho"/>
          <w:lang w:eastAsia="ja-JP"/>
        </w:rPr>
      </w:pPr>
      <w:r w:rsidRPr="00CA3C19">
        <w:rPr>
          <w:rFonts w:eastAsia="MS Mincho"/>
          <w:lang w:eastAsia="ja-JP"/>
        </w:rPr>
        <w:t>Details are FFS</w:t>
      </w:r>
    </w:p>
    <w:p w:rsidR="00FB72BF" w:rsidRPr="00CA3C19" w:rsidRDefault="00FB72BF" w:rsidP="00FB72BF">
      <w:pPr>
        <w:numPr>
          <w:ilvl w:val="2"/>
          <w:numId w:val="15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non-contiguous spectrum case</w:t>
      </w:r>
    </w:p>
    <w:p w:rsidR="00FB72BF" w:rsidRPr="00CA3C19" w:rsidRDefault="00FB72BF" w:rsidP="00FB72BF">
      <w:pPr>
        <w:numPr>
          <w:ilvl w:val="1"/>
          <w:numId w:val="15"/>
        </w:numPr>
        <w:rPr>
          <w:rFonts w:eastAsia="MS Mincho"/>
          <w:lang w:eastAsia="ja-JP"/>
        </w:rPr>
      </w:pPr>
      <w:r w:rsidRPr="00CA3C19">
        <w:rPr>
          <w:rFonts w:eastAsia="MS Mincho"/>
          <w:lang w:eastAsia="ja-JP"/>
        </w:rPr>
        <w:t>Single carrier operation</w:t>
      </w:r>
      <w:r>
        <w:rPr>
          <w:rFonts w:eastAsia="MS Mincho" w:hint="eastAsia"/>
          <w:lang w:eastAsia="ja-JP"/>
        </w:rPr>
        <w:t xml:space="preserve"> </w:t>
      </w:r>
    </w:p>
    <w:p w:rsidR="00FB72BF" w:rsidRPr="00E555A1" w:rsidRDefault="00FB72BF" w:rsidP="00FB72BF">
      <w:pPr>
        <w:numPr>
          <w:ilvl w:val="2"/>
          <w:numId w:val="15"/>
        </w:numPr>
        <w:rPr>
          <w:rFonts w:eastAsia="MS Mincho"/>
          <w:lang w:eastAsia="ja-JP"/>
        </w:rPr>
      </w:pPr>
      <w:r w:rsidRPr="00CA3C19">
        <w:rPr>
          <w:rFonts w:eastAsia="MS Mincho"/>
          <w:lang w:eastAsia="ja-JP"/>
        </w:rPr>
        <w:t xml:space="preserve">Details are FFS </w:t>
      </w:r>
    </w:p>
    <w:p w:rsidR="00FB72BF" w:rsidRDefault="00FB72BF" w:rsidP="00FB72BF">
      <w:pPr>
        <w:numPr>
          <w:ilvl w:val="2"/>
          <w:numId w:val="1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Maximum channel </w:t>
      </w:r>
      <w:r>
        <w:rPr>
          <w:rFonts w:eastAsia="MS Mincho" w:hint="eastAsia"/>
          <w:lang w:eastAsia="ja-JP"/>
        </w:rPr>
        <w:t>bandwidth</w:t>
      </w:r>
      <w:r w:rsidRPr="00CA3C19">
        <w:rPr>
          <w:rFonts w:eastAsia="MS Mincho"/>
          <w:lang w:eastAsia="ja-JP"/>
        </w:rPr>
        <w:t xml:space="preserve"> continues to be studied in RAN1/4</w:t>
      </w:r>
    </w:p>
    <w:p w:rsidR="00FB72BF" w:rsidRDefault="00FB72BF" w:rsidP="00FB72BF">
      <w:pPr>
        <w:numPr>
          <w:ilvl w:val="3"/>
          <w:numId w:val="15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Maximum bandwidth supported by some UE capabilities/categories may be less than channel bandwidth of serving single carrier</w:t>
      </w:r>
    </w:p>
    <w:p w:rsidR="00FB72BF" w:rsidRPr="00CA3C19" w:rsidRDefault="00FB72BF" w:rsidP="00FB72BF">
      <w:pPr>
        <w:numPr>
          <w:ilvl w:val="4"/>
          <w:numId w:val="15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some UE capabilities/categories may support channel bandwidth of serving single carrier</w:t>
      </w:r>
    </w:p>
    <w:p w:rsidR="00FB72BF" w:rsidRPr="00A60C30" w:rsidRDefault="00FB72BF" w:rsidP="00FB72BF">
      <w:pPr>
        <w:numPr>
          <w:ilvl w:val="0"/>
          <w:numId w:val="15"/>
        </w:numPr>
        <w:rPr>
          <w:rFonts w:eastAsia="MS Mincho"/>
          <w:lang w:eastAsia="ja-JP"/>
        </w:rPr>
      </w:pPr>
      <w:r w:rsidRPr="00CA3C19">
        <w:rPr>
          <w:rFonts w:eastAsia="MS Mincho"/>
          <w:lang w:eastAsia="ja-JP"/>
        </w:rPr>
        <w:t xml:space="preserve">Send an LS to ask RAN4 to </w:t>
      </w:r>
      <w:r>
        <w:rPr>
          <w:rFonts w:eastAsia="MS Mincho" w:hint="eastAsia"/>
          <w:lang w:eastAsia="ja-JP"/>
        </w:rPr>
        <w:t xml:space="preserve">study the </w:t>
      </w:r>
      <w:r w:rsidRPr="00CA3C19">
        <w:rPr>
          <w:rFonts w:eastAsia="MS Mincho"/>
          <w:lang w:eastAsia="ja-JP"/>
        </w:rPr>
        <w:t>feasibilities</w:t>
      </w:r>
      <w:r>
        <w:rPr>
          <w:rFonts w:eastAsia="MS Mincho" w:hint="eastAsia"/>
          <w:lang w:eastAsia="ja-JP"/>
        </w:rPr>
        <w:t xml:space="preserve"> of mechanisms above </w:t>
      </w:r>
      <w:r w:rsidRPr="00CA3C19">
        <w:rPr>
          <w:rFonts w:eastAsia="MS Mincho"/>
          <w:lang w:eastAsia="ja-JP"/>
        </w:rPr>
        <w:t>from both NW and UE perspectives</w:t>
      </w:r>
    </w:p>
    <w:p w:rsidR="00DE0D8A" w:rsidRPr="00DD162C" w:rsidRDefault="00DE0D8A" w:rsidP="00DE0D8A">
      <w:pPr>
        <w:rPr>
          <w:rFonts w:eastAsia="MS Mincho"/>
          <w:lang w:eastAsia="ja-JP"/>
        </w:rPr>
      </w:pPr>
    </w:p>
    <w:p w:rsidR="00DE0D8A" w:rsidRDefault="00DE0D8A" w:rsidP="009A0611">
      <w:pPr>
        <w:pStyle w:val="BodyText"/>
      </w:pPr>
      <w:r>
        <w:t>In this document</w:t>
      </w:r>
      <w:r w:rsidR="00FB72BF">
        <w:t xml:space="preserve"> the aspect of NR carrier bandwidth is discussed from a specification perspective.</w:t>
      </w:r>
    </w:p>
    <w:p w:rsidR="006B481E" w:rsidRDefault="00FB72BF" w:rsidP="006B481E">
      <w:pPr>
        <w:pStyle w:val="Heading1"/>
        <w:spacing w:before="180"/>
        <w:ind w:left="562" w:hanging="562"/>
      </w:pPr>
      <w:r>
        <w:t>Discussion</w:t>
      </w:r>
    </w:p>
    <w:p w:rsidR="00FB72BF" w:rsidRDefault="00FB72BF" w:rsidP="00FB72BF">
      <w:pPr>
        <w:pStyle w:val="BodyText"/>
      </w:pPr>
      <w:r>
        <w:t xml:space="preserve">The maximum bandwidth of a carrier that can be implemented depends on a lot of factors, e.g. output power, carrier frequency, various out-of-band emission requirements, </w:t>
      </w:r>
      <w:proofErr w:type="spellStart"/>
      <w:r>
        <w:t>etc</w:t>
      </w:r>
      <w:proofErr w:type="spellEnd"/>
      <w:r>
        <w:t>, all beyond the scope of RAN1. The bandwidth feasible to implement in a single RF chain may also increase over time as technology improves. Implementations of multiple RF chains running in parallel together mimicking a single, wide RF chain is can also be envisioned. It is therefore hard to define a maximum implementable upper bandwidth</w:t>
      </w:r>
      <w:r w:rsidR="00A66C0D">
        <w:t xml:space="preserve"> at this stage</w:t>
      </w:r>
      <w:r>
        <w:t>.</w:t>
      </w:r>
      <w:r w:rsidR="00437A47">
        <w:t xml:space="preserve"> </w:t>
      </w:r>
      <w:r w:rsidR="0041222B">
        <w:t xml:space="preserve">Furthermore, at higher carrier frequencies </w:t>
      </w:r>
      <w:r w:rsidR="00437A47">
        <w:t xml:space="preserve">fairly large amounts of contiguous spectrum is </w:t>
      </w:r>
      <w:r w:rsidR="0041222B">
        <w:t>available which clearly should be exploited in an efficient manner. As an example, 802.11ad can exploit a channel bandwidth of 2.16 GHz in the 6 GHz band.</w:t>
      </w:r>
    </w:p>
    <w:p w:rsidR="00437A47" w:rsidRDefault="00FB72BF" w:rsidP="00437A47">
      <w:pPr>
        <w:pStyle w:val="BodyText"/>
        <w:rPr>
          <w:vanish/>
        </w:rPr>
      </w:pPr>
      <w:r>
        <w:t xml:space="preserve">To handle this, it is therefore recommended to develop the RAN1 specifications such that a very wide carrier bandwidth is supported. In essence, this boils down to define a sufficiently short </w:t>
      </w:r>
      <w:r w:rsidRPr="00C12953">
        <w:rPr>
          <w:position w:val="-10"/>
        </w:rPr>
        <w:object w:dxaOrig="2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14.95pt" o:ole="">
            <v:imagedata r:id="rId6" o:title=""/>
          </v:shape>
          <o:OLEObject Type="Embed" ProgID="Equation.3" ShapeID="_x0000_i1025" DrawAspect="Content" ObjectID="_1539771560" r:id="rId7"/>
        </w:object>
      </w:r>
      <w:r>
        <w:t xml:space="preserve"> in the 211 sp</w:t>
      </w:r>
      <w:r w:rsidR="00437A47">
        <w:t xml:space="preserve">ecification. For example, </w:t>
      </w:r>
      <w:r w:rsidR="00437A47" w:rsidRPr="00C12953">
        <w:rPr>
          <w:position w:val="-10"/>
        </w:rPr>
        <w:object w:dxaOrig="1820" w:dyaOrig="300">
          <v:shape id="_x0000_i1026" type="#_x0000_t75" style="width:90.7pt;height:14.95pt" o:ole="">
            <v:imagedata r:id="rId8" o:title=""/>
          </v:shape>
          <o:OLEObject Type="Embed" ProgID="Equation.3" ShapeID="_x0000_i1026" DrawAspect="Content" ObjectID="_1539771561" r:id="rId9"/>
        </w:object>
      </w:r>
      <w:r w:rsidR="00437A47">
        <w:t xml:space="preserve"> would allow a carrier bandwidth up to almost 2 GHz which would not unnecessarily limit the supported bandwidths from a RAN1 perspective. Compare this to LTE, where the specifications where developed assuming a maximum carrier bandwidth of 110 RB, implying that wider bandwidths than around 20 </w:t>
      </w:r>
      <w:r w:rsidR="00437A47">
        <w:rPr>
          <w:vanish/>
        </w:rPr>
        <w:t>MHz is not possible without carrier aggregation even if it would be desirable.</w:t>
      </w:r>
    </w:p>
    <w:p w:rsidR="00437A47" w:rsidRDefault="00437A47" w:rsidP="00437A47">
      <w:pPr>
        <w:pStyle w:val="BodyText"/>
      </w:pPr>
      <w:r>
        <w:rPr>
          <w:vanish/>
        </w:rPr>
        <w:t xml:space="preserve">Note that the choice of a short </w:t>
      </w:r>
      <w:r w:rsidRPr="00C12953">
        <w:rPr>
          <w:position w:val="-10"/>
        </w:rPr>
        <w:object w:dxaOrig="220" w:dyaOrig="300">
          <v:shape id="_x0000_i1027" type="#_x0000_t75" style="width:11.2pt;height:14.95pt" o:ole="">
            <v:imagedata r:id="rId6" o:title=""/>
          </v:shape>
          <o:OLEObject Type="Embed" ProgID="Equation.3" ShapeID="_x0000_i1027" DrawAspect="Content" ObjectID="_1539771562" r:id="rId10"/>
        </w:object>
      </w:r>
      <w:r>
        <w:t xml:space="preserve"> is purely a specification issue and does not mandate a certain sampling rate in the </w:t>
      </w:r>
      <w:r w:rsidR="0041222B">
        <w:t>implementation</w:t>
      </w:r>
      <w:r>
        <w:t>, neither does it imply that all UEs need to support the widest bandwidth. It is purely a way of making the specifications future-proof.</w:t>
      </w:r>
    </w:p>
    <w:p w:rsidR="00437A47" w:rsidRPr="00437A47" w:rsidRDefault="00437A47" w:rsidP="00437A47">
      <w:pPr>
        <w:pStyle w:val="BodyText"/>
        <w:rPr>
          <w:vanish/>
        </w:rPr>
      </w:pPr>
      <w:r>
        <w:t xml:space="preserve">Carrier aggregation and/or dual connectivity is needed irrespective of the maximum carrier bandwidth, e.g. to support non-contiguous spectrum </w:t>
      </w:r>
      <w:r w:rsidR="0041222B">
        <w:t>allocations</w:t>
      </w:r>
      <w:r w:rsidR="00A66C0D">
        <w:t xml:space="preserve"> and simultaneous connectivity to multiple nodes interconnected with non-ideal backhaul</w:t>
      </w:r>
      <w:r>
        <w:t>.</w:t>
      </w:r>
    </w:p>
    <w:p w:rsidR="00DA7D33" w:rsidRDefault="00DA7D33" w:rsidP="00DA7D33">
      <w:pPr>
        <w:pStyle w:val="Heading1"/>
        <w:spacing w:before="180"/>
        <w:ind w:left="562" w:hanging="562"/>
      </w:pPr>
      <w:r>
        <w:t>Conclusion</w:t>
      </w:r>
    </w:p>
    <w:p w:rsidR="005838EA" w:rsidRPr="00C8496C" w:rsidRDefault="00213303" w:rsidP="00C8496C">
      <w:pPr>
        <w:pStyle w:val="BodyText"/>
      </w:pPr>
      <w:r>
        <w:t xml:space="preserve">It is proposed to </w:t>
      </w:r>
      <w:r w:rsidR="00437A47">
        <w:t xml:space="preserve">develop the RAN1 specifications such that a very wide carrier bandwidth, beyond </w:t>
      </w:r>
      <w:r w:rsidR="0041222B">
        <w:t>2</w:t>
      </w:r>
      <w:r w:rsidR="00437A47">
        <w:t xml:space="preserve"> GHz, is possible and </w:t>
      </w:r>
      <w:r w:rsidR="00A66C0D">
        <w:t xml:space="preserve">leave the definition of which </w:t>
      </w:r>
      <w:r w:rsidR="00437A47">
        <w:t>bandwidths that are supported in different frequency bands</w:t>
      </w:r>
      <w:r w:rsidR="00A66C0D">
        <w:t xml:space="preserve"> to RAN4</w:t>
      </w:r>
      <w:r w:rsidR="00437A47">
        <w:t>.</w:t>
      </w:r>
    </w:p>
    <w:sectPr w:rsidR="005838EA" w:rsidRPr="00C8496C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66DDD"/>
    <w:multiLevelType w:val="hybridMultilevel"/>
    <w:tmpl w:val="04D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6781E"/>
    <w:multiLevelType w:val="hybridMultilevel"/>
    <w:tmpl w:val="F0B4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6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0"/>
  </w:num>
  <w:num w:numId="4">
    <w:abstractNumId w:val="15"/>
  </w:num>
  <w:num w:numId="5">
    <w:abstractNumId w:val="12"/>
  </w:num>
  <w:num w:numId="6">
    <w:abstractNumId w:val="10"/>
  </w:num>
  <w:num w:numId="7">
    <w:abstractNumId w:val="14"/>
  </w:num>
  <w:num w:numId="8">
    <w:abstractNumId w:val="13"/>
  </w:num>
  <w:num w:numId="9">
    <w:abstractNumId w:val="5"/>
  </w:num>
  <w:num w:numId="10">
    <w:abstractNumId w:val="2"/>
  </w:num>
  <w:num w:numId="11">
    <w:abstractNumId w:val="9"/>
  </w:num>
  <w:num w:numId="12">
    <w:abstractNumId w:val="16"/>
  </w:num>
  <w:num w:numId="13">
    <w:abstractNumId w:val="1"/>
  </w:num>
  <w:num w:numId="14">
    <w:abstractNumId w:val="3"/>
  </w:num>
  <w:num w:numId="15">
    <w:abstractNumId w:val="6"/>
  </w:num>
  <w:num w:numId="16">
    <w:abstractNumId w:val="4"/>
  </w:num>
  <w:num w:numId="17">
    <w:abstractNumId w:val="15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2C3F"/>
    <w:rsid w:val="000208D5"/>
    <w:rsid w:val="00024F13"/>
    <w:rsid w:val="00106ABF"/>
    <w:rsid w:val="001F0CAF"/>
    <w:rsid w:val="00213303"/>
    <w:rsid w:val="0028065B"/>
    <w:rsid w:val="00286B6D"/>
    <w:rsid w:val="0034475B"/>
    <w:rsid w:val="0041222B"/>
    <w:rsid w:val="00437A47"/>
    <w:rsid w:val="0048093F"/>
    <w:rsid w:val="0049799A"/>
    <w:rsid w:val="004B1C8B"/>
    <w:rsid w:val="0052140E"/>
    <w:rsid w:val="005514B5"/>
    <w:rsid w:val="005838EA"/>
    <w:rsid w:val="006A286A"/>
    <w:rsid w:val="006B481E"/>
    <w:rsid w:val="006D4A4B"/>
    <w:rsid w:val="008A0342"/>
    <w:rsid w:val="00942F98"/>
    <w:rsid w:val="009A0611"/>
    <w:rsid w:val="009E46CD"/>
    <w:rsid w:val="009F5076"/>
    <w:rsid w:val="00A66C0D"/>
    <w:rsid w:val="00B03ED8"/>
    <w:rsid w:val="00B368D9"/>
    <w:rsid w:val="00BB2430"/>
    <w:rsid w:val="00BB7B54"/>
    <w:rsid w:val="00BE4063"/>
    <w:rsid w:val="00C1560A"/>
    <w:rsid w:val="00C62894"/>
    <w:rsid w:val="00C8496C"/>
    <w:rsid w:val="00CA5E5D"/>
    <w:rsid w:val="00CB5A40"/>
    <w:rsid w:val="00CC1CA7"/>
    <w:rsid w:val="00CE6CB0"/>
    <w:rsid w:val="00D03072"/>
    <w:rsid w:val="00D577BB"/>
    <w:rsid w:val="00DA7D33"/>
    <w:rsid w:val="00DB6F36"/>
    <w:rsid w:val="00DD11CB"/>
    <w:rsid w:val="00DE0D8A"/>
    <w:rsid w:val="00DE1BAA"/>
    <w:rsid w:val="00E10C1F"/>
    <w:rsid w:val="00E20E32"/>
    <w:rsid w:val="00EB26FB"/>
    <w:rsid w:val="00EE25EB"/>
    <w:rsid w:val="00F346B4"/>
    <w:rsid w:val="00F618ED"/>
    <w:rsid w:val="00F81C1C"/>
    <w:rsid w:val="00F92325"/>
    <w:rsid w:val="00F92540"/>
    <w:rsid w:val="00FB72BF"/>
    <w:rsid w:val="00FE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C13B88"/>
  <w15:chartTrackingRefBased/>
  <w15:docId w15:val="{54A907FB-0818-4EAE-A2EF-CCFECD25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59BD7-09E9-418E-8D8B-D56FA69E6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2</cp:revision>
  <dcterms:created xsi:type="dcterms:W3CDTF">2016-11-04T12:33:00Z</dcterms:created>
  <dcterms:modified xsi:type="dcterms:W3CDTF">2016-11-04T12:33:00Z</dcterms:modified>
</cp:coreProperties>
</file>